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27" w:rsidRDefault="007E0927" w:rsidP="00BC1B75">
      <w:pPr>
        <w:pStyle w:val="Heading1"/>
      </w:pPr>
      <w:r>
        <w:t>Mississippi State University Extension Service</w:t>
      </w:r>
    </w:p>
    <w:p w:rsidR="00824B25" w:rsidRDefault="00DF5C7F" w:rsidP="00BC1B75">
      <w:pPr>
        <w:pStyle w:val="Heading2"/>
      </w:pPr>
      <w:r w:rsidRPr="00DF5C7F">
        <w:t>Chain-of-Custody Water Testing and Well Yield Testing</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The Mississippi State Department of Health (MSDH) has an environmental laboratory certification program for water testing labs to ensure data accuracy.</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bookmarkStart w:id="0" w:name="_GoBack"/>
      <w:bookmarkEnd w:id="0"/>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The entire list of water testing laboratories accredited by the MSDH can be found online at https://msdh.ms.gov/msdhsite/_static/14,0,188.html. Search for Laboratory, select/click on Environmental Laboratory Certification Program, and then scroll down and click on the link for Participating In-State Labs for the Quick Reference List.</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Some labs are accredited for many water testing parameters, while others may only be accredited for a few (like bacteria). When discussing water testing with a state-accredited laboratory, confirm that they hold current state accreditation for all of the water test parameters that you are interested in testing on your water supply.</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Any water testing done to legally document water quality before a nearby activity or land use change (e.g., gas drilling, mining, construction) should be collected by professionals and delivered to a state-accredited water lab. This type of testing is often referred to as chain-of-custody or third-party water testing. All individuals who handle the sample are documented on the chain-of-custody form to show that only unbiased professionals had access to the sample. This also ensures that the sample is collected using proper protocols and analyzed using proper methods.</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It is up to each laboratory to determine which lab employees or independent consultants are qualified to collect and submit samples to their laboratory. Using this chain-of-custody process ensures that the water quality results will be more useful in any potential legal proceedings related to contamination of drinking water supplies by nearby activities. Chain-of-custody testing is also used in some real estate transactions.</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cr/>
        <w:t>Not all state-accredited laboratories offer chain-of-custody services. Potential water testing clients seeking chain-of-custody testing should confirm with each laboratory that they can, in fact, provide this service.</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To document the yield of a well before a land use change, a homeowner can contract with a well driller or other professional rather than a water quality testing laboratory. Yield testing results will vary depending on the technique used and natural hydrologic changes. A list of licensed well drillers can be found at https://www.mdeq.ms.gov/permits/water-well-drillers/forms/.</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Publication 3375 (07-19)</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By Jason R. Barrett, PhD, Assistant Extension Professor, Extension Center for Government and Community Development.</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Produced by Agricultural Communications.</w:t>
      </w:r>
    </w:p>
    <w:p w:rsidR="00DF5C7F" w:rsidRPr="00DF5C7F"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F5C7F">
        <w:rPr>
          <w:rFonts w:ascii="Calibri" w:hAnsi="Calibri" w:cs="Calibri"/>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B4AFC" w:rsidRDefault="00DF5C7F" w:rsidP="00DF5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DF5C7F">
        <w:rPr>
          <w:rFonts w:ascii="Calibri" w:hAnsi="Calibri" w:cs="Calibri"/>
        </w:rPr>
        <w:t>Extension Service of Mississippi State University, cooperating with U.S. Department of Agriculture. Published in furtherance of Acts of Congress, May 8 and June 30, 1914. GARY B. JACKSON, Director</w:t>
      </w:r>
    </w:p>
    <w:sectPr w:rsidR="006B4AFC" w:rsidSect="0055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25"/>
    <w:rsid w:val="000B0E91"/>
    <w:rsid w:val="005553FB"/>
    <w:rsid w:val="006B4AFC"/>
    <w:rsid w:val="006F2595"/>
    <w:rsid w:val="007E0927"/>
    <w:rsid w:val="00824B25"/>
    <w:rsid w:val="00914284"/>
    <w:rsid w:val="00A734D5"/>
    <w:rsid w:val="00BC1B75"/>
    <w:rsid w:val="00C57621"/>
    <w:rsid w:val="00D537C5"/>
    <w:rsid w:val="00DF5C7F"/>
    <w:rsid w:val="00E1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026EE"/>
  <w15:chartTrackingRefBased/>
  <w15:docId w15:val="{A2D05930-02DF-7241-ADD1-8011516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7C5"/>
    <w:pPr>
      <w:keepNext/>
      <w:keepLines/>
      <w:tabs>
        <w:tab w:val="left" w:pos="380"/>
      </w:tabs>
      <w:spacing w:before="40"/>
      <w:textAlignment w:val="baseline"/>
      <w:outlineLvl w:val="2"/>
    </w:pPr>
    <w:rPr>
      <w:rFonts w:ascii="Arial" w:eastAsiaTheme="majorEastAsia" w:hAnsi="Arial" w:cstheme="majorBidi"/>
    </w:rPr>
  </w:style>
  <w:style w:type="paragraph" w:styleId="Heading4">
    <w:name w:val="heading 4"/>
    <w:basedOn w:val="Normal"/>
    <w:next w:val="Normal"/>
    <w:link w:val="Heading4Char"/>
    <w:uiPriority w:val="9"/>
    <w:unhideWhenUsed/>
    <w:qFormat/>
    <w:rsid w:val="00BC1B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7C5"/>
    <w:rPr>
      <w:rFonts w:ascii="Arial" w:eastAsiaTheme="majorEastAsia" w:hAnsi="Arial" w:cstheme="majorBidi"/>
    </w:rPr>
  </w:style>
  <w:style w:type="table" w:styleId="TableGrid">
    <w:name w:val="Table Grid"/>
    <w:basedOn w:val="TableNormal"/>
    <w:uiPriority w:val="39"/>
    <w:rsid w:val="00D537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B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1B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C1B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Phillip</dc:creator>
  <cp:keywords/>
  <dc:description/>
  <cp:lastModifiedBy>Smith, Phillip</cp:lastModifiedBy>
  <cp:revision>3</cp:revision>
  <dcterms:created xsi:type="dcterms:W3CDTF">2019-07-16T17:50:00Z</dcterms:created>
  <dcterms:modified xsi:type="dcterms:W3CDTF">2019-07-16T20:48:00Z</dcterms:modified>
</cp:coreProperties>
</file>